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71" w:rsidRDefault="002900F3" w:rsidP="00FE7A22">
      <w:pPr>
        <w:pStyle w:val="NoSpacing"/>
      </w:pPr>
      <w:r>
        <w:t>(</w:t>
      </w:r>
      <w:r w:rsidR="00FE7A22">
        <w:t>Sem_VI_6.</w:t>
      </w:r>
      <w:r>
        <w:t>)</w:t>
      </w:r>
      <w:r w:rsidR="00FE7A22">
        <w:t xml:space="preserve"> : </w:t>
      </w:r>
      <w:r w:rsidR="00FE7A22" w:rsidRPr="002900F3">
        <w:rPr>
          <w:b/>
          <w:bCs/>
          <w:sz w:val="28"/>
          <w:szCs w:val="28"/>
        </w:rPr>
        <w:t>Face Centered Cubic (FCC):</w:t>
      </w:r>
    </w:p>
    <w:p w:rsidR="00FE7A22" w:rsidRDefault="00FE7A22" w:rsidP="00FE7A22">
      <w:pPr>
        <w:pStyle w:val="NoSpacing"/>
      </w:pPr>
      <w:r>
        <w:t xml:space="preserve">   In the face-centered cubic or cubic F-lattice, there are eight lattice points at the corners of the unit cell and also it contains lattice points at the center of each face. </w:t>
      </w:r>
      <w:proofErr w:type="gramStart"/>
      <w:r>
        <w:t>i.e</w:t>
      </w:r>
      <w:proofErr w:type="gramEnd"/>
      <w:r>
        <w:t xml:space="preserve">. there is an extra lattice point at the center of each face of the </w:t>
      </w:r>
      <w:proofErr w:type="spellStart"/>
      <w:r>
        <w:t>fcc</w:t>
      </w:r>
      <w:proofErr w:type="spellEnd"/>
      <w:r>
        <w:t xml:space="preserve"> lattice unit cell.</w:t>
      </w:r>
    </w:p>
    <w:p w:rsidR="00FE7A22" w:rsidRDefault="00FE7A22" w:rsidP="00FE7A22">
      <w:pPr>
        <w:pStyle w:val="NoSpacing"/>
      </w:pPr>
      <w:r>
        <w:t xml:space="preserve">   In the </w:t>
      </w:r>
      <w:proofErr w:type="spellStart"/>
      <w:proofErr w:type="gramStart"/>
      <w:r>
        <w:t>fcc</w:t>
      </w:r>
      <w:proofErr w:type="spellEnd"/>
      <w:proofErr w:type="gramEnd"/>
      <w:r>
        <w:t xml:space="preserve"> lattice, there are eight lattice points at eight corners and contribution of these eight lattice points to the unit cell = 1/8 x 8 = 1.</w:t>
      </w:r>
    </w:p>
    <w:p w:rsidR="00600398" w:rsidRDefault="00600398" w:rsidP="00FE7A22">
      <w:pPr>
        <w:pStyle w:val="NoSpacing"/>
      </w:pPr>
      <w:r>
        <w:t xml:space="preserve">   In addition, there are </w:t>
      </w:r>
      <w:r w:rsidR="00B4308D">
        <w:t>six faces of the unit cell each atom of which belongs to two unit cells. So, the contribution of these six lattice points to the unit cell = ½ x 6 =3.</w:t>
      </w:r>
    </w:p>
    <w:p w:rsidR="00B4308D" w:rsidRDefault="00B4308D" w:rsidP="00FE7A22">
      <w:pPr>
        <w:pStyle w:val="NoSpacing"/>
      </w:pPr>
      <w:r>
        <w:t xml:space="preserve">   Thus, total number of lattice points per </w:t>
      </w:r>
      <w:proofErr w:type="spellStart"/>
      <w:proofErr w:type="gramStart"/>
      <w:r>
        <w:t>fcc</w:t>
      </w:r>
      <w:proofErr w:type="spellEnd"/>
      <w:proofErr w:type="gramEnd"/>
      <w:r>
        <w:t xml:space="preserve"> cell = 1 + 3 = 4.</w:t>
      </w:r>
    </w:p>
    <w:p w:rsidR="00A16D4E" w:rsidRDefault="00A16D4E" w:rsidP="00FE7A22">
      <w:pPr>
        <w:pStyle w:val="NoSpacing"/>
      </w:pPr>
      <w:r>
        <w:rPr>
          <w:noProof/>
          <w:lang w:bidi="hi-IN"/>
        </w:rPr>
        <w:drawing>
          <wp:inline distT="0" distB="0" distL="0" distR="0">
            <wp:extent cx="4903980" cy="2009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63" cy="20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4E" w:rsidRDefault="00A16D4E" w:rsidP="00FE7A22">
      <w:pPr>
        <w:pStyle w:val="NoSpacing"/>
      </w:pPr>
      <w:r>
        <w:t xml:space="preserve">   Face diagonal of the FCC unit cell is AC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</w:t>
      </w:r>
      <w:proofErr w:type="gramStart"/>
      <w:r>
        <w:t>a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=</w:t>
      </w:r>
      <w:proofErr w:type="gramEnd"/>
      <w:r>
        <w:t xml:space="preserve"> 2</w:t>
      </w:r>
      <w:r w:rsidRPr="00A16D4E">
        <w:t xml:space="preserve"> </w:t>
      </w:r>
      <w:r>
        <w:t>a</w:t>
      </w:r>
      <w:r>
        <w:rPr>
          <w:vertAlign w:val="superscript"/>
        </w:rPr>
        <w:t>2</w:t>
      </w:r>
    </w:p>
    <w:p w:rsidR="00B04F09" w:rsidRDefault="00A16D4E" w:rsidP="00FE7A22">
      <w:pPr>
        <w:pStyle w:val="NoSpacing"/>
      </w:pPr>
      <w:r>
        <w:t xml:space="preserve">                                       </w:t>
      </w:r>
    </w:p>
    <w:p w:rsidR="00A16D4E" w:rsidRDefault="00B04F09" w:rsidP="00FE7A22">
      <w:pPr>
        <w:pStyle w:val="NoSpacing"/>
        <w:rPr>
          <w:rFonts w:eastAsiaTheme="minorEastAsia"/>
        </w:rPr>
      </w:pPr>
      <w:r>
        <w:t xml:space="preserve">                                                              </w:t>
      </w:r>
      <w:r w:rsidR="00A16D4E">
        <w:t>Or</w:t>
      </w:r>
      <w:proofErr w:type="gramStart"/>
      <w:r w:rsidR="00A16D4E">
        <w:t>,  AC</w:t>
      </w:r>
      <w:proofErr w:type="gramEnd"/>
      <w:r w:rsidR="00A16D4E"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A16D4E">
        <w:rPr>
          <w:rFonts w:eastAsiaTheme="minorEastAsia"/>
        </w:rPr>
        <w:t xml:space="preserve"> a = 4r</w:t>
      </w:r>
    </w:p>
    <w:p w:rsidR="00B04F09" w:rsidRDefault="00A16D4E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</w:t>
      </w:r>
    </w:p>
    <w:p w:rsidR="00A16D4E" w:rsidRDefault="00B04F09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</w:t>
      </w:r>
      <w:r w:rsidR="00A16D4E">
        <w:rPr>
          <w:rFonts w:eastAsiaTheme="minorEastAsia"/>
        </w:rPr>
        <w:t xml:space="preserve">   Or,    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A16D4E">
        <w:rPr>
          <w:rFonts w:eastAsiaTheme="minorEastAsia"/>
        </w:rPr>
        <w:t xml:space="preserve"> a   …   …                 …            </w:t>
      </w:r>
      <w:proofErr w:type="gramStart"/>
      <w:r w:rsidR="00A16D4E">
        <w:rPr>
          <w:rFonts w:eastAsiaTheme="minorEastAsia"/>
        </w:rPr>
        <w:t>…  (</w:t>
      </w:r>
      <w:proofErr w:type="gramEnd"/>
      <w:r w:rsidR="00A16D4E">
        <w:rPr>
          <w:rFonts w:eastAsiaTheme="minorEastAsia"/>
        </w:rPr>
        <w:t>1)</w:t>
      </w:r>
    </w:p>
    <w:p w:rsidR="00B04F09" w:rsidRDefault="00A16D4E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</w:t>
      </w:r>
    </w:p>
    <w:p w:rsidR="00A16D4E" w:rsidRDefault="00A16D4E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B04F09">
        <w:rPr>
          <w:rFonts w:eastAsiaTheme="minorEastAsia"/>
        </w:rPr>
        <w:t xml:space="preserve">                                                                 </w:t>
      </w:r>
      <w:r>
        <w:rPr>
          <w:rFonts w:eastAsiaTheme="minorEastAsia"/>
        </w:rPr>
        <w:t xml:space="preserve">    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>…   …                 …            …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(</w:t>
      </w:r>
      <w:r>
        <w:rPr>
          <w:rFonts w:eastAsiaTheme="minorEastAsia"/>
        </w:rPr>
        <w:t>2</w:t>
      </w:r>
      <w:r>
        <w:rPr>
          <w:rFonts w:eastAsiaTheme="minorEastAsia"/>
        </w:rPr>
        <w:t>)</w:t>
      </w:r>
    </w:p>
    <w:p w:rsidR="00B04F09" w:rsidRDefault="00A16D4E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16D4E" w:rsidRDefault="00B04F09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w:r w:rsidR="00A16D4E">
        <w:rPr>
          <w:rFonts w:eastAsiaTheme="minorEastAsia"/>
        </w:rPr>
        <w:t xml:space="preserve">  The nearest neighbor </w:t>
      </w:r>
      <w:proofErr w:type="gramStart"/>
      <w:r w:rsidR="00A16D4E">
        <w:rPr>
          <w:rFonts w:eastAsiaTheme="minorEastAsia"/>
        </w:rPr>
        <w:t>distance  d</w:t>
      </w:r>
      <w:proofErr w:type="gramEnd"/>
      <w:r w:rsidR="00A16D4E">
        <w:rPr>
          <w:rFonts w:eastAsiaTheme="minorEastAsia"/>
        </w:rPr>
        <w:t xml:space="preserve"> = 2r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A16D4E">
        <w:rPr>
          <w:rFonts w:eastAsiaTheme="minorEastAsia"/>
        </w:rPr>
        <w:t xml:space="preserve">           …              ..  (3)</w:t>
      </w:r>
    </w:p>
    <w:p w:rsidR="00B04F09" w:rsidRDefault="00B04F09" w:rsidP="00FE7A22">
      <w:pPr>
        <w:pStyle w:val="NoSpacing"/>
        <w:rPr>
          <w:rFonts w:eastAsiaTheme="minorEastAsia"/>
        </w:rPr>
      </w:pPr>
    </w:p>
    <w:p w:rsidR="00A16D4E" w:rsidRDefault="00A16D4E" w:rsidP="00FE7A22">
      <w:pPr>
        <w:pStyle w:val="NoSpacing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Now, total volume of 4 atoms = </w:t>
      </w:r>
      <w:proofErr w:type="gramStart"/>
      <w:r w:rsidR="00A51EB9">
        <w:rPr>
          <w:rFonts w:eastAsiaTheme="minorEastAsia"/>
        </w:rPr>
        <w:t>4 .</w:t>
      </w:r>
      <w:proofErr w:type="gramEnd"/>
      <w:r w:rsidR="00A51EB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A51EB9">
        <w:rPr>
          <w:rFonts w:eastAsiaTheme="minorEastAsia"/>
        </w:rPr>
        <w:t xml:space="preserve"> </w:t>
      </w:r>
      <w:proofErr w:type="gramStart"/>
      <w:r w:rsidR="00A51EB9">
        <w:rPr>
          <w:rFonts w:eastAsiaTheme="minorEastAsia" w:cstheme="minorHAnsi"/>
        </w:rPr>
        <w:t>л</w:t>
      </w:r>
      <w:proofErr w:type="gramEnd"/>
      <w:r w:rsidR="00A51EB9">
        <w:rPr>
          <w:rFonts w:eastAsiaTheme="minorEastAsia"/>
        </w:rPr>
        <w:t xml:space="preserve"> r</w:t>
      </w:r>
      <w:r w:rsidR="00A51EB9">
        <w:rPr>
          <w:rFonts w:eastAsiaTheme="minorEastAsia"/>
          <w:vertAlign w:val="superscript"/>
        </w:rPr>
        <w:t>3</w:t>
      </w:r>
    </w:p>
    <w:p w:rsidR="00B04F09" w:rsidRDefault="00A51EB9" w:rsidP="00FE7A22">
      <w:pPr>
        <w:pStyle w:val="NoSpacing"/>
        <w:rPr>
          <w:rFonts w:eastAsiaTheme="minorEastAsia"/>
          <w:vertAlign w:val="superscript"/>
        </w:rPr>
      </w:pPr>
      <w:r>
        <w:rPr>
          <w:rFonts w:eastAsiaTheme="minorEastAsia"/>
          <w:vertAlign w:val="superscript"/>
        </w:rPr>
        <w:t xml:space="preserve">                                                                   </w:t>
      </w:r>
    </w:p>
    <w:p w:rsidR="00A51EB9" w:rsidRDefault="00A51EB9" w:rsidP="00FE7A22">
      <w:pPr>
        <w:pStyle w:val="NoSpacing"/>
        <w:rPr>
          <w:rFonts w:eastAsiaTheme="minorEastAsia"/>
        </w:rPr>
      </w:pPr>
      <w:r>
        <w:rPr>
          <w:rFonts w:eastAsiaTheme="minorEastAsia"/>
          <w:vertAlign w:val="superscript"/>
        </w:rPr>
        <w:t xml:space="preserve">    </w:t>
      </w:r>
      <w:r w:rsidR="00B04F09">
        <w:rPr>
          <w:rFonts w:eastAsiaTheme="minorEastAsia"/>
          <w:vertAlign w:val="superscript"/>
        </w:rPr>
        <w:t xml:space="preserve">                                                                             </w:t>
      </w:r>
      <w:r>
        <w:rPr>
          <w:rFonts w:eastAsiaTheme="minorEastAsia"/>
          <w:vertAlign w:val="superscript"/>
        </w:rPr>
        <w:t xml:space="preserve">       </w:t>
      </w:r>
      <w:r>
        <w:rPr>
          <w:rFonts w:eastAsiaTheme="minorEastAsia"/>
        </w:rPr>
        <w:t xml:space="preserve">= </w:t>
      </w:r>
      <w:proofErr w:type="gramStart"/>
      <w:r>
        <w:rPr>
          <w:rFonts w:eastAsiaTheme="minorEastAsia"/>
        </w:rPr>
        <w:t>4 .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 w:cstheme="minorHAnsi"/>
        </w:rPr>
        <w:t>л</w:t>
      </w:r>
      <w:proofErr w:type="gramEnd"/>
      <w:r>
        <w:rPr>
          <w:rFonts w:eastAsiaTheme="minorEastAsia" w:cstheme="minorHAnsi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 </w:t>
      </w:r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 =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л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</w:t>
      </w:r>
      <w:r>
        <w:rPr>
          <w:rFonts w:eastAsiaTheme="minorEastAsia"/>
          <w:vertAlign w:val="superscript"/>
        </w:rPr>
        <w:t>3</w:t>
      </w:r>
    </w:p>
    <w:p w:rsidR="00B04F09" w:rsidRDefault="00B04F09" w:rsidP="00FE7A22">
      <w:pPr>
        <w:pStyle w:val="NoSpacing"/>
        <w:rPr>
          <w:rFonts w:eastAsiaTheme="minorEastAsia"/>
        </w:rPr>
      </w:pPr>
    </w:p>
    <w:p w:rsidR="00A51EB9" w:rsidRDefault="00A51EB9" w:rsidP="00FE7A22">
      <w:pPr>
        <w:pStyle w:val="NoSpacing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   And volume of the unit cell V = a</w:t>
      </w:r>
      <w:r>
        <w:rPr>
          <w:rFonts w:eastAsiaTheme="minorEastAsia"/>
          <w:vertAlign w:val="superscript"/>
        </w:rPr>
        <w:t>3</w:t>
      </w:r>
    </w:p>
    <w:p w:rsidR="00B04F09" w:rsidRDefault="00B04F09" w:rsidP="00FE7A22">
      <w:pPr>
        <w:pStyle w:val="NoSpacing"/>
        <w:rPr>
          <w:rFonts w:eastAsiaTheme="minorEastAsia"/>
        </w:rPr>
      </w:pPr>
    </w:p>
    <w:p w:rsidR="00A51EB9" w:rsidRDefault="00A51EB9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Hence, Packing </w:t>
      </w:r>
      <w:proofErr w:type="gramStart"/>
      <w:r>
        <w:rPr>
          <w:rFonts w:eastAsiaTheme="minorEastAsia"/>
        </w:rPr>
        <w:t>fraction  =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 w:cstheme="minorHAnsi"/>
        </w:rPr>
        <w:t>л</w:t>
      </w:r>
      <w:r>
        <w:rPr>
          <w:rFonts w:eastAsiaTheme="minorEastAsia"/>
        </w:rPr>
        <w:t xml:space="preserve"> 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) / a</w:t>
      </w:r>
      <w:r>
        <w:rPr>
          <w:rFonts w:eastAsiaTheme="minorEastAsia"/>
          <w:vertAlign w:val="superscript"/>
        </w:rPr>
        <w:t xml:space="preserve">3 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 w:cstheme="minorHAnsi"/>
        </w:rPr>
        <w:t>л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= 0.74</w:t>
      </w:r>
    </w:p>
    <w:p w:rsidR="00B04F09" w:rsidRDefault="00B04F09" w:rsidP="00FE7A22">
      <w:pPr>
        <w:pStyle w:val="NoSpacing"/>
        <w:rPr>
          <w:rFonts w:eastAsiaTheme="minorEastAsia"/>
        </w:rPr>
      </w:pPr>
    </w:p>
    <w:p w:rsidR="00A51EB9" w:rsidRDefault="00A51EB9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In terms of percentage PF = 74%</w:t>
      </w:r>
    </w:p>
    <w:p w:rsidR="00A51EB9" w:rsidRDefault="00A51EB9" w:rsidP="00FE7A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Thus, FCC </w:t>
      </w:r>
      <w:proofErr w:type="gramStart"/>
      <w:r>
        <w:rPr>
          <w:rFonts w:eastAsiaTheme="minorEastAsia"/>
        </w:rPr>
        <w:t>structure  has</w:t>
      </w:r>
      <w:proofErr w:type="gramEnd"/>
      <w:r>
        <w:rPr>
          <w:rFonts w:eastAsiaTheme="minorEastAsia"/>
        </w:rPr>
        <w:t xml:space="preserve"> highest packing fraction compared to SC and BCC structure.</w:t>
      </w:r>
    </w:p>
    <w:p w:rsidR="00A51EB9" w:rsidRPr="00A51EB9" w:rsidRDefault="00A51EB9" w:rsidP="00FE7A22">
      <w:pPr>
        <w:pStyle w:val="NoSpacing"/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Examples :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Aluminium</w:t>
      </w:r>
      <w:proofErr w:type="spellEnd"/>
      <w:r>
        <w:rPr>
          <w:rFonts w:eastAsiaTheme="minorEastAsia"/>
        </w:rPr>
        <w:t>, Silver, Copper, Lead etc.</w:t>
      </w:r>
    </w:p>
    <w:sectPr w:rsidR="00A51EB9" w:rsidRPr="00A5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2"/>
    <w:rsid w:val="002900F3"/>
    <w:rsid w:val="00571171"/>
    <w:rsid w:val="00600398"/>
    <w:rsid w:val="00A16D4E"/>
    <w:rsid w:val="00A51EB9"/>
    <w:rsid w:val="00B04F09"/>
    <w:rsid w:val="00B4308D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D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2021-06-11T13:58:00Z</dcterms:created>
  <dcterms:modified xsi:type="dcterms:W3CDTF">2021-06-11T15:01:00Z</dcterms:modified>
</cp:coreProperties>
</file>